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A9E" w:rsidRDefault="00D36A8B" w:rsidP="005626CE">
      <w:pPr>
        <w:spacing w:after="0"/>
        <w:jc w:val="center"/>
      </w:pPr>
      <w:r>
        <w:rPr>
          <w:noProof/>
        </w:rPr>
        <mc:AlternateContent>
          <mc:Choice Requires="wps">
            <w:drawing>
              <wp:anchor distT="0" distB="0" distL="114300" distR="114300" simplePos="0" relativeHeight="251659264" behindDoc="0" locked="0" layoutInCell="1" allowOverlap="1" wp14:anchorId="3AD319BC" wp14:editId="4F8F161D">
                <wp:simplePos x="0" y="0"/>
                <wp:positionH relativeFrom="column">
                  <wp:posOffset>4587875</wp:posOffset>
                </wp:positionH>
                <wp:positionV relativeFrom="paragraph">
                  <wp:posOffset>88264</wp:posOffset>
                </wp:positionV>
                <wp:extent cx="1888490" cy="1133475"/>
                <wp:effectExtent l="133350" t="247650" r="130810" b="238125"/>
                <wp:wrapNone/>
                <wp:docPr id="1" name="Text Box 1"/>
                <wp:cNvGraphicFramePr/>
                <a:graphic xmlns:a="http://schemas.openxmlformats.org/drawingml/2006/main">
                  <a:graphicData uri="http://schemas.microsoft.com/office/word/2010/wordprocessingShape">
                    <wps:wsp>
                      <wps:cNvSpPr txBox="1"/>
                      <wps:spPr>
                        <a:xfrm rot="20757463">
                          <a:off x="0" y="0"/>
                          <a:ext cx="1888490" cy="1133475"/>
                        </a:xfrm>
                        <a:prstGeom prst="rect">
                          <a:avLst/>
                        </a:prstGeom>
                        <a:solidFill>
                          <a:schemeClr val="lt1"/>
                        </a:solidFill>
                        <a:ln w="3810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9C62C9" w:rsidRPr="009C62C9" w:rsidRDefault="009C62C9" w:rsidP="009C62C9">
                            <w:pPr>
                              <w:jc w:val="center"/>
                              <w:rPr>
                                <w:i/>
                              </w:rPr>
                            </w:pPr>
                            <w:r w:rsidRPr="009C62C9">
                              <w:rPr>
                                <w:b/>
                                <w:color w:val="FF0000"/>
                              </w:rPr>
                              <w:t>CAUTION</w:t>
                            </w:r>
                            <w:r w:rsidRPr="009C62C9">
                              <w:rPr>
                                <w:i/>
                              </w:rPr>
                              <w:t>: This is a sample policy only. Each agency must adapt and change</w:t>
                            </w:r>
                            <w:r w:rsidR="006B437A">
                              <w:rPr>
                                <w:i/>
                              </w:rPr>
                              <w:t xml:space="preserve"> this to fit their specific 12 Lead</w:t>
                            </w:r>
                            <w:r w:rsidRPr="009C62C9">
                              <w:rPr>
                                <w:i/>
                              </w:rPr>
                              <w:t xml:space="preserve"> program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319BC" id="_x0000_t202" coordsize="21600,21600" o:spt="202" path="m,l,21600r21600,l21600,xe">
                <v:stroke joinstyle="miter"/>
                <v:path gradientshapeok="t" o:connecttype="rect"/>
              </v:shapetype>
              <v:shape id="Text Box 1" o:spid="_x0000_s1026" type="#_x0000_t202" style="position:absolute;left:0;text-align:left;margin-left:361.25pt;margin-top:6.95pt;width:148.7pt;height:89.25pt;rotation:-92027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" fillcolor="white [3201]" strokecolor="red" strokeweight="3pt">
                <v:textbox>
                  <w:txbxContent>
                    <w:p w:rsidR="009C62C9" w:rsidRPr="009C62C9" w:rsidRDefault="009C62C9" w:rsidP="009C62C9">
                      <w:pPr>
                        <w:jc w:val="center"/>
                        <w:rPr>
                          <w:i/>
                        </w:rPr>
                      </w:pPr>
                      <w:r w:rsidRPr="009C62C9">
                        <w:rPr>
                          <w:b/>
                          <w:color w:val="FF0000"/>
                        </w:rPr>
                        <w:t>CAUTION</w:t>
                      </w:r>
                      <w:r w:rsidRPr="009C62C9">
                        <w:rPr>
                          <w:i/>
                        </w:rPr>
                        <w:t>: This is a sample policy only. Each agency must adapt and change</w:t>
                      </w:r>
                      <w:r w:rsidR="006B437A">
                        <w:rPr>
                          <w:i/>
                        </w:rPr>
                        <w:t xml:space="preserve"> this to fit their specific 12 Lead</w:t>
                      </w:r>
                      <w:r w:rsidRPr="009C62C9">
                        <w:rPr>
                          <w:i/>
                        </w:rPr>
                        <w:t xml:space="preserve"> program information!</w:t>
                      </w:r>
                    </w:p>
                  </w:txbxContent>
                </v:textbox>
              </v:shape>
            </w:pict>
          </mc:Fallback>
        </mc:AlternateContent>
      </w:r>
      <w:r w:rsidR="003F4A9E">
        <w:t>SAMPLE OPERATING POLICIES AND PROCEDURES</w:t>
      </w:r>
    </w:p>
    <w:p w:rsidR="003F4A9E" w:rsidRDefault="003F4A9E" w:rsidP="005626CE">
      <w:pPr>
        <w:spacing w:after="0"/>
        <w:jc w:val="center"/>
      </w:pPr>
    </w:p>
    <w:p w:rsidR="00B85CE3" w:rsidRDefault="009C62C9" w:rsidP="005626CE">
      <w:pPr>
        <w:spacing w:after="0"/>
        <w:jc w:val="center"/>
      </w:pPr>
      <w:r>
        <w:t>[</w:t>
      </w:r>
      <w:r w:rsidR="00B85CE3">
        <w:t>EMS Agency Name</w:t>
      </w:r>
      <w:r>
        <w:t>]</w:t>
      </w:r>
    </w:p>
    <w:p w:rsidR="003F4A9E" w:rsidRDefault="006B437A" w:rsidP="005626CE">
      <w:pPr>
        <w:jc w:val="center"/>
      </w:pPr>
      <w:r>
        <w:t>BLS 12-Lead</w:t>
      </w:r>
      <w:r w:rsidR="00701D50">
        <w:t xml:space="preserve"> Standard Operating Policy</w:t>
      </w:r>
      <w:r w:rsidR="003F4A9E">
        <w:t xml:space="preserve"> and Procedures</w:t>
      </w:r>
    </w:p>
    <w:p w:rsidR="004B54CB" w:rsidRPr="004B54CB" w:rsidRDefault="00701D50" w:rsidP="005626CE">
      <w:pPr>
        <w:spacing w:after="0"/>
        <w:rPr>
          <w:b/>
          <w:color w:val="FF0000"/>
        </w:rPr>
      </w:pPr>
      <w:r>
        <w:t>Subject</w:t>
      </w:r>
      <w:r w:rsidR="00D36A8B">
        <w:t xml:space="preserve">: </w:t>
      </w:r>
      <w:r w:rsidR="00D36A8B" w:rsidRPr="00D36A8B">
        <w:t xml:space="preserve">Use of 12-Lead EKG’s by BLS </w:t>
      </w:r>
      <w:r w:rsidR="004B54CB">
        <w:rPr>
          <w:b/>
          <w:color w:val="FF0000"/>
        </w:rPr>
        <w:t>–</w:t>
      </w:r>
      <w:r w:rsidR="004B54CB" w:rsidRPr="004B54CB">
        <w:rPr>
          <w:b/>
          <w:color w:val="FF0000"/>
        </w:rPr>
        <w:t xml:space="preserve"> </w:t>
      </w:r>
      <w:r w:rsidR="004B54CB" w:rsidRPr="008F5FFD">
        <w:rPr>
          <w:b/>
          <w:color w:val="FF0000"/>
          <w:sz w:val="28"/>
          <w:szCs w:val="28"/>
        </w:rPr>
        <w:t>SAMPLE</w:t>
      </w:r>
    </w:p>
    <w:p w:rsidR="003F4A9E" w:rsidRDefault="003F4A9E" w:rsidP="005626CE">
      <w:pPr>
        <w:spacing w:after="0" w:line="240" w:lineRule="auto"/>
      </w:pPr>
      <w:r>
        <w:t xml:space="preserve">Date Effective:  </w:t>
      </w:r>
      <w:r w:rsidR="00D36A8B">
        <w:tab/>
        <w:t>_____________</w:t>
      </w:r>
    </w:p>
    <w:p w:rsidR="00780697" w:rsidRDefault="003F4A9E" w:rsidP="005626CE">
      <w:pPr>
        <w:spacing w:after="0" w:line="240" w:lineRule="auto"/>
      </w:pPr>
      <w:r>
        <w:t xml:space="preserve">Date Revised: </w:t>
      </w:r>
      <w:r w:rsidR="00D36A8B">
        <w:tab/>
        <w:t>_____________</w:t>
      </w:r>
    </w:p>
    <w:p w:rsidR="003F4A9E" w:rsidRDefault="003F4A9E" w:rsidP="005626CE">
      <w:pPr>
        <w:spacing w:after="0" w:line="240" w:lineRule="auto"/>
      </w:pPr>
      <w:r>
        <w:t xml:space="preserve">Supersedes: </w:t>
      </w:r>
      <w:r w:rsidR="00D36A8B">
        <w:tab/>
        <w:t>_____________</w:t>
      </w:r>
    </w:p>
    <w:p w:rsidR="004B54CB" w:rsidRDefault="004B54CB" w:rsidP="005626CE">
      <w:pPr>
        <w:spacing w:after="0" w:line="240" w:lineRule="auto"/>
      </w:pPr>
    </w:p>
    <w:p w:rsidR="003F4A9E" w:rsidRDefault="004B54CB" w:rsidP="005626CE">
      <w:pPr>
        <w:spacing w:after="0" w:line="240" w:lineRule="auto"/>
      </w:pPr>
      <w:r w:rsidRPr="00A8337F">
        <w:rPr>
          <w:b/>
        </w:rPr>
        <w:t>PURPOSE</w:t>
      </w:r>
      <w:r>
        <w:t>: The purpose of this policy is to define the</w:t>
      </w:r>
      <w:r w:rsidR="00BC3CE6">
        <w:t xml:space="preserve"> authority for the BLS use </w:t>
      </w:r>
      <w:r w:rsidR="006B7422">
        <w:t xml:space="preserve">of </w:t>
      </w:r>
      <w:r w:rsidR="006B437A">
        <w:t>12-LEAD</w:t>
      </w:r>
      <w:r w:rsidR="006B7422">
        <w:t>, training, equipment,</w:t>
      </w:r>
      <w:r w:rsidR="00BC3CE6">
        <w:t xml:space="preserve"> protocol</w:t>
      </w:r>
      <w:r w:rsidR="006B7422">
        <w:t>s and procedures</w:t>
      </w:r>
      <w:r w:rsidR="00BC3CE6">
        <w:t xml:space="preserve"> required for the use of </w:t>
      </w:r>
      <w:r w:rsidR="006B437A">
        <w:t>12-LEAD</w:t>
      </w:r>
      <w:r w:rsidR="00BC3CE6">
        <w:t xml:space="preserve"> by EMTs.</w:t>
      </w:r>
      <w:r w:rsidR="00F459A5">
        <w:t xml:space="preserve"> </w:t>
      </w:r>
      <w:r w:rsidR="00575FDB" w:rsidRPr="00575FDB">
        <w:t>In systems heavily reliant on BLS providers, acquiring and transmitting 12-lead ECG from the field to physicians in hospitals can substantially improve the timeliness of identification and intervention in patients suffering from STEMI. This may also improve care in two-tiered systems where BLS is likely to be on scene and working in conjunction with, or intercepting with Advanced Life Support (ALS) providers.</w:t>
      </w:r>
    </w:p>
    <w:p w:rsidR="00BC3CE6" w:rsidRDefault="004A195C" w:rsidP="004A195C">
      <w:pPr>
        <w:tabs>
          <w:tab w:val="left" w:pos="8412"/>
        </w:tabs>
        <w:spacing w:after="0" w:line="240" w:lineRule="auto"/>
      </w:pPr>
      <w:r>
        <w:tab/>
      </w:r>
    </w:p>
    <w:p w:rsidR="00BC3CE6" w:rsidRDefault="00BC3CE6" w:rsidP="005626CE">
      <w:pPr>
        <w:spacing w:after="0" w:line="240" w:lineRule="auto"/>
      </w:pPr>
      <w:r w:rsidRPr="00A8337F">
        <w:rPr>
          <w:b/>
        </w:rPr>
        <w:t>POLICY</w:t>
      </w:r>
      <w:r>
        <w:t>:</w:t>
      </w:r>
      <w:r w:rsidR="00DC4EE5">
        <w:t xml:space="preserve"> </w:t>
      </w:r>
      <w:r w:rsidR="006B437A" w:rsidRPr="006B437A">
        <w:t>At the March, 2016 meetings of the State Emergency Medical Advisory Committee (SEMAC) and the State EMS Council (SEMSCO), the acquisition and transmission of 12 lead electrocardiograms (ECG) by Basic Life Support (BLS) and Advanced Emergency Medical Technician (AEMT) level providers was approved for use by New York State’s EMS agencies. This decision was based on the results of a demonstration project, which established that BLS providers acquiring and transmitting a 12-lead ECG from the field to physicians in hospitals may substantially improve the timeliness of identification and intervention in patients suffering from an ST Elevation Myocardial Infarction (STEMI).</w:t>
      </w:r>
    </w:p>
    <w:p w:rsidR="003F4A9E" w:rsidRDefault="003F4A9E" w:rsidP="005626CE">
      <w:pPr>
        <w:spacing w:after="0" w:line="240" w:lineRule="auto"/>
      </w:pPr>
      <w:r>
        <w:t xml:space="preserve"> </w:t>
      </w:r>
    </w:p>
    <w:p w:rsidR="00CE6E66" w:rsidRPr="00CE6E66" w:rsidRDefault="00CE6E66" w:rsidP="005626CE">
      <w:pPr>
        <w:spacing w:after="0" w:line="240" w:lineRule="auto"/>
        <w:rPr>
          <w:b/>
        </w:rPr>
      </w:pPr>
      <w:r w:rsidRPr="00CE6E66">
        <w:rPr>
          <w:b/>
        </w:rPr>
        <w:t>Application</w:t>
      </w:r>
    </w:p>
    <w:p w:rsidR="006B437A" w:rsidRDefault="006B437A" w:rsidP="006B437A">
      <w:r>
        <w:t>In order to be credentialed to acquire and transmit 12 ‐lead ECGs, an EMT or AEMT must meet all of the following requirements:</w:t>
      </w:r>
    </w:p>
    <w:p w:rsidR="006B437A" w:rsidRDefault="006B437A" w:rsidP="006B437A">
      <w:pPr>
        <w:pStyle w:val="ListParagraph"/>
        <w:numPr>
          <w:ilvl w:val="0"/>
          <w:numId w:val="20"/>
        </w:numPr>
        <w:spacing w:after="160" w:line="259" w:lineRule="auto"/>
      </w:pPr>
      <w:r>
        <w:t>Complete a course which meets or exceeds the BLS Acquisition and Transmission of 12‐lead ECG course developed by the WREMAC</w:t>
      </w:r>
    </w:p>
    <w:p w:rsidR="006B437A" w:rsidRDefault="006B437A" w:rsidP="006B437A">
      <w:pPr>
        <w:pStyle w:val="ListParagraph"/>
        <w:numPr>
          <w:ilvl w:val="0"/>
          <w:numId w:val="20"/>
        </w:numPr>
        <w:spacing w:after="160" w:line="259" w:lineRule="auto"/>
      </w:pPr>
      <w:r>
        <w:t>Complete an orientation for Acquisition and Transmission of 12‐lead ECG specific to the device used by the agency</w:t>
      </w:r>
    </w:p>
    <w:p w:rsidR="006B437A" w:rsidRDefault="006B437A" w:rsidP="006B437A">
      <w:pPr>
        <w:pStyle w:val="ListParagraph"/>
        <w:numPr>
          <w:ilvl w:val="0"/>
          <w:numId w:val="20"/>
        </w:numPr>
        <w:spacing w:after="160" w:line="259" w:lineRule="auto"/>
      </w:pPr>
      <w:r>
        <w:t>Demonstrated competency in Acquisition and Transmission of 12‐lead ECG specific to the device used by the agency</w:t>
      </w:r>
    </w:p>
    <w:p w:rsidR="0026584A" w:rsidRPr="00D66430" w:rsidRDefault="006B437A" w:rsidP="00D66430">
      <w:pPr>
        <w:pStyle w:val="ListParagraph"/>
        <w:numPr>
          <w:ilvl w:val="0"/>
          <w:numId w:val="20"/>
        </w:numPr>
        <w:spacing w:after="160" w:line="259" w:lineRule="auto"/>
      </w:pPr>
      <w:r>
        <w:t>Function within an agency that has been approved to perform BLS Acquisition and Transmission of 12‐lead ECG</w:t>
      </w:r>
    </w:p>
    <w:p w:rsidR="00E81FFC" w:rsidRPr="00564739" w:rsidRDefault="00564739" w:rsidP="00564739">
      <w:pPr>
        <w:spacing w:after="0" w:line="240" w:lineRule="auto"/>
      </w:pPr>
      <w:r w:rsidRPr="00564739">
        <w:t>Whenever possible, and in accordance with on‐line medical control, patients with 12‐lead</w:t>
      </w:r>
      <w:r>
        <w:t xml:space="preserve"> </w:t>
      </w:r>
      <w:r w:rsidRPr="00564739">
        <w:t>ECG‐confirmed STEMI should be transported to a hospital capable of emergency PCI (aka</w:t>
      </w:r>
      <w:r>
        <w:t xml:space="preserve"> </w:t>
      </w:r>
      <w:r w:rsidRPr="00564739">
        <w:t>STEMI center).</w:t>
      </w:r>
      <w:r w:rsidR="00D66430">
        <w:t xml:space="preserve"> </w:t>
      </w:r>
    </w:p>
    <w:p w:rsidR="00564739" w:rsidRDefault="00564739" w:rsidP="00564739">
      <w:pPr>
        <w:spacing w:after="0" w:line="240" w:lineRule="auto"/>
      </w:pPr>
      <w:r w:rsidRPr="00564739">
        <w:t>Agencies are not required to credential all EM</w:t>
      </w:r>
      <w:r w:rsidR="00E81FFC">
        <w:t>T/AEMT providers to participate.</w:t>
      </w:r>
      <w:r w:rsidR="00D66430">
        <w:t xml:space="preserve"> </w:t>
      </w:r>
    </w:p>
    <w:p w:rsidR="00E81FFC" w:rsidRPr="00564739" w:rsidRDefault="00E81FFC" w:rsidP="00564739">
      <w:pPr>
        <w:spacing w:after="0" w:line="240" w:lineRule="auto"/>
      </w:pPr>
    </w:p>
    <w:p w:rsidR="0026584A" w:rsidRDefault="00CB34B5" w:rsidP="005626CE">
      <w:pPr>
        <w:spacing w:after="0" w:line="240" w:lineRule="auto"/>
        <w:rPr>
          <w:b/>
        </w:rPr>
      </w:pPr>
      <w:r w:rsidRPr="00062051">
        <w:rPr>
          <w:b/>
        </w:rPr>
        <w:t xml:space="preserve">Qualifications of </w:t>
      </w:r>
      <w:r w:rsidR="00717C6B" w:rsidRPr="00062051">
        <w:rPr>
          <w:b/>
        </w:rPr>
        <w:t>EMTs</w:t>
      </w:r>
    </w:p>
    <w:p w:rsidR="00E81FFC" w:rsidRDefault="00062051" w:rsidP="005626CE">
      <w:pPr>
        <w:spacing w:after="0" w:line="240" w:lineRule="auto"/>
      </w:pPr>
      <w:r>
        <w:t xml:space="preserve">Persons qualifying for consideration for admission into the BLS </w:t>
      </w:r>
      <w:r w:rsidR="006B437A">
        <w:t>12-LEAD</w:t>
      </w:r>
      <w:r>
        <w:t xml:space="preserve"> program must be </w:t>
      </w:r>
      <w:r w:rsidR="009D66EA">
        <w:t xml:space="preserve">active </w:t>
      </w:r>
      <w:r>
        <w:t>members in good standing with the agency and currently certified at the EMT</w:t>
      </w:r>
      <w:r w:rsidR="009D66EA">
        <w:t xml:space="preserve"> or AEMT</w:t>
      </w:r>
      <w:r w:rsidR="006B437A">
        <w:t xml:space="preserve"> level.</w:t>
      </w:r>
      <w:r w:rsidR="00A36D1E">
        <w:t xml:space="preserve"> </w:t>
      </w:r>
      <w:r w:rsidR="00A36D1E" w:rsidRPr="00A36D1E">
        <w:t>The Agency will ensure that 12-Lead devices will only be used by authorized EMT(s) who have successfully complet</w:t>
      </w:r>
      <w:r w:rsidR="00A36D1E">
        <w:t>ed an approved training program.</w:t>
      </w:r>
    </w:p>
    <w:p w:rsidR="00E81FFC" w:rsidRPr="00D66430" w:rsidRDefault="00D66430" w:rsidP="00D66430">
      <w:pPr>
        <w:spacing w:after="0" w:line="240" w:lineRule="auto"/>
        <w:jc w:val="center"/>
        <w:rPr>
          <w:b/>
          <w:i/>
        </w:rPr>
      </w:pPr>
      <w:r>
        <w:rPr>
          <w:b/>
          <w:i/>
        </w:rPr>
        <w:t>***</w:t>
      </w:r>
      <w:r w:rsidR="00E81FFC" w:rsidRPr="00E81FFC">
        <w:rPr>
          <w:b/>
          <w:i/>
          <w:u w:val="single"/>
        </w:rPr>
        <w:t xml:space="preserve">CFRs may not be credentialed to perform 12‐lead ECGs under this </w:t>
      </w:r>
      <w:proofErr w:type="gramStart"/>
      <w:r w:rsidR="00E81FFC" w:rsidRPr="00E81FFC">
        <w:rPr>
          <w:b/>
          <w:i/>
          <w:u w:val="single"/>
        </w:rPr>
        <w:t>policy.</w:t>
      </w:r>
      <w:r>
        <w:rPr>
          <w:b/>
          <w:i/>
        </w:rPr>
        <w:t>*</w:t>
      </w:r>
      <w:proofErr w:type="gramEnd"/>
      <w:r>
        <w:rPr>
          <w:b/>
          <w:i/>
        </w:rPr>
        <w:t>**</w:t>
      </w:r>
    </w:p>
    <w:p w:rsidR="00717C6B" w:rsidRDefault="00717C6B" w:rsidP="005626CE">
      <w:pPr>
        <w:spacing w:after="0" w:line="240" w:lineRule="auto"/>
      </w:pPr>
    </w:p>
    <w:p w:rsidR="00CE6E66" w:rsidRPr="00062051" w:rsidRDefault="00CE6E66" w:rsidP="005626CE">
      <w:pPr>
        <w:spacing w:after="0" w:line="240" w:lineRule="auto"/>
        <w:rPr>
          <w:b/>
        </w:rPr>
      </w:pPr>
      <w:r w:rsidRPr="00062051">
        <w:rPr>
          <w:b/>
        </w:rPr>
        <w:t>Training</w:t>
      </w:r>
    </w:p>
    <w:p w:rsidR="00CE6E66" w:rsidRDefault="00CE6E66" w:rsidP="005626CE">
      <w:pPr>
        <w:spacing w:after="0" w:line="240" w:lineRule="auto"/>
      </w:pPr>
      <w:r>
        <w:lastRenderedPageBreak/>
        <w:t xml:space="preserve">The agency will </w:t>
      </w:r>
      <w:r w:rsidR="001133B5">
        <w:t>assure training</w:t>
      </w:r>
      <w:r>
        <w:t xml:space="preserve"> in </w:t>
      </w:r>
      <w:r w:rsidR="006B437A">
        <w:t>12-LEAD</w:t>
      </w:r>
      <w:r>
        <w:t xml:space="preserve"> use </w:t>
      </w:r>
      <w:r w:rsidR="001133B5">
        <w:t>for</w:t>
      </w:r>
      <w:r>
        <w:t xml:space="preserve"> each EMT who is approved by their service medical director to perform the procedure. The training program will </w:t>
      </w:r>
      <w:r w:rsidR="00E42D08">
        <w:t>utilize the WREMAC approved training program and specific instruction on the 12-LEAD EKG machine to be used by the agency.</w:t>
      </w:r>
    </w:p>
    <w:p w:rsidR="00680B60" w:rsidRDefault="00680B60" w:rsidP="00680B60">
      <w:pPr>
        <w:pStyle w:val="ListParagraph"/>
        <w:spacing w:after="0" w:line="240" w:lineRule="auto"/>
      </w:pPr>
    </w:p>
    <w:p w:rsidR="00191E0C" w:rsidRDefault="00191E0C" w:rsidP="009D66EA">
      <w:pPr>
        <w:spacing w:after="0" w:line="240" w:lineRule="auto"/>
        <w:rPr>
          <w:b/>
        </w:rPr>
      </w:pPr>
      <w:r>
        <w:rPr>
          <w:b/>
        </w:rPr>
        <w:t>Training Records</w:t>
      </w:r>
    </w:p>
    <w:p w:rsidR="00191E0C" w:rsidRDefault="00823318" w:rsidP="009D66EA">
      <w:pPr>
        <w:spacing w:after="0" w:line="240" w:lineRule="auto"/>
      </w:pPr>
      <w:r w:rsidRPr="00823318">
        <w:t xml:space="preserve">Each agency is required to keep </w:t>
      </w:r>
      <w:r>
        <w:t xml:space="preserve">a BLS </w:t>
      </w:r>
      <w:r w:rsidR="006B437A">
        <w:t>12-LEAD</w:t>
      </w:r>
      <w:r>
        <w:t xml:space="preserve"> Course record for each course given. This file must contain the following:</w:t>
      </w:r>
    </w:p>
    <w:p w:rsidR="00D66430" w:rsidRDefault="00D66430" w:rsidP="00823318">
      <w:pPr>
        <w:pStyle w:val="ListParagraph"/>
        <w:numPr>
          <w:ilvl w:val="0"/>
          <w:numId w:val="13"/>
        </w:numPr>
        <w:spacing w:after="0" w:line="240" w:lineRule="auto"/>
      </w:pPr>
      <w:r>
        <w:t>Name of Qualified Instructor</w:t>
      </w:r>
    </w:p>
    <w:p w:rsidR="00823318" w:rsidRDefault="00823318" w:rsidP="00823318">
      <w:pPr>
        <w:pStyle w:val="ListParagraph"/>
        <w:numPr>
          <w:ilvl w:val="0"/>
          <w:numId w:val="13"/>
        </w:numPr>
        <w:spacing w:after="0" w:line="240" w:lineRule="auto"/>
      </w:pPr>
      <w:r>
        <w:t>Separate class roster for each session of the course</w:t>
      </w:r>
    </w:p>
    <w:p w:rsidR="00823318" w:rsidRDefault="00823318" w:rsidP="00823318">
      <w:pPr>
        <w:pStyle w:val="ListParagraph"/>
        <w:numPr>
          <w:ilvl w:val="0"/>
          <w:numId w:val="13"/>
        </w:numPr>
        <w:spacing w:after="0" w:line="240" w:lineRule="auto"/>
      </w:pPr>
      <w:r>
        <w:t>Date of session and time class began and time class ended</w:t>
      </w:r>
    </w:p>
    <w:p w:rsidR="00732654" w:rsidRDefault="00823318" w:rsidP="00732654">
      <w:pPr>
        <w:pStyle w:val="ListParagraph"/>
        <w:numPr>
          <w:ilvl w:val="0"/>
          <w:numId w:val="13"/>
        </w:numPr>
        <w:spacing w:after="0" w:line="240" w:lineRule="auto"/>
      </w:pPr>
      <w:r>
        <w:t>Printed name, signature and EMT # of each student attending</w:t>
      </w:r>
    </w:p>
    <w:p w:rsidR="00732654" w:rsidRDefault="00732654" w:rsidP="00732654">
      <w:pPr>
        <w:pStyle w:val="ListParagraph"/>
        <w:numPr>
          <w:ilvl w:val="0"/>
          <w:numId w:val="13"/>
        </w:numPr>
        <w:spacing w:after="0" w:line="240" w:lineRule="auto"/>
      </w:pPr>
      <w:r>
        <w:t>Record of training program used and any student handouts</w:t>
      </w:r>
      <w:r w:rsidR="001133B5">
        <w:t xml:space="preserve"> (if a program other than the WREMAC training program is used)</w:t>
      </w:r>
    </w:p>
    <w:p w:rsidR="00823318" w:rsidRPr="00823318" w:rsidRDefault="00823318" w:rsidP="00732654">
      <w:pPr>
        <w:pStyle w:val="ListParagraph"/>
        <w:spacing w:after="0" w:line="240" w:lineRule="auto"/>
        <w:ind w:left="-720"/>
      </w:pPr>
    </w:p>
    <w:p w:rsidR="009D66EA" w:rsidRDefault="004F1FB3" w:rsidP="009D66EA">
      <w:pPr>
        <w:spacing w:after="0" w:line="240" w:lineRule="auto"/>
        <w:rPr>
          <w:b/>
        </w:rPr>
      </w:pPr>
      <w:r>
        <w:rPr>
          <w:b/>
        </w:rPr>
        <w:t xml:space="preserve">Maintenance of Competency - </w:t>
      </w:r>
      <w:r w:rsidR="009D66EA" w:rsidRPr="009D66EA">
        <w:rPr>
          <w:b/>
        </w:rPr>
        <w:t>Continuing Education</w:t>
      </w:r>
      <w:r w:rsidR="00732654">
        <w:rPr>
          <w:b/>
        </w:rPr>
        <w:t xml:space="preserve"> </w:t>
      </w:r>
    </w:p>
    <w:p w:rsidR="00732654" w:rsidRPr="00732654" w:rsidRDefault="00732654" w:rsidP="009D66EA">
      <w:pPr>
        <w:spacing w:after="0" w:line="240" w:lineRule="auto"/>
      </w:pPr>
      <w:r w:rsidRPr="00732654">
        <w:t>Each EMT</w:t>
      </w:r>
      <w:r>
        <w:t>/AEMT</w:t>
      </w:r>
      <w:r w:rsidRPr="00732654">
        <w:t xml:space="preserve"> </w:t>
      </w:r>
      <w:r>
        <w:t xml:space="preserve">who has been approved to </w:t>
      </w:r>
      <w:r w:rsidR="00E81FFC">
        <w:t xml:space="preserve">apply BLS </w:t>
      </w:r>
      <w:r w:rsidR="006B437A">
        <w:t>12-LEAD</w:t>
      </w:r>
      <w:r>
        <w:t xml:space="preserve"> must </w:t>
      </w:r>
      <w:r w:rsidR="00342CF2">
        <w:t xml:space="preserve">re-credential as part of their annual skills credentialing. </w:t>
      </w:r>
    </w:p>
    <w:p w:rsidR="00F459A5" w:rsidRDefault="00F459A5" w:rsidP="00F459A5">
      <w:pPr>
        <w:spacing w:after="0" w:line="240" w:lineRule="auto"/>
      </w:pPr>
    </w:p>
    <w:p w:rsidR="009B4E77" w:rsidRDefault="009B4E77" w:rsidP="005626CE">
      <w:pPr>
        <w:spacing w:after="0" w:line="240" w:lineRule="auto"/>
        <w:rPr>
          <w:b/>
        </w:rPr>
      </w:pPr>
      <w:r>
        <w:rPr>
          <w:b/>
        </w:rPr>
        <w:t>Indications</w:t>
      </w:r>
    </w:p>
    <w:p w:rsidR="00575FDB" w:rsidRDefault="00575FDB" w:rsidP="00575FDB">
      <w:pPr>
        <w:spacing w:after="0" w:line="240" w:lineRule="auto"/>
      </w:pPr>
      <w:r>
        <w:t>An EMT or AEMT may perform a 12‐lead ECG if they suspect their patient is having a cardiac related problem. According to the collaborative protocols, providers should “consider 12‐lead ECG for adults, with any one of the following: dyspnea, syncope,</w:t>
      </w:r>
      <w:r w:rsidR="00564739">
        <w:t xml:space="preserve"> </w:t>
      </w:r>
      <w:r>
        <w:t>dizziness, fatigue, weakness, nausea, or vomiting.”</w:t>
      </w:r>
    </w:p>
    <w:p w:rsidR="00575FDB" w:rsidRDefault="00575FDB" w:rsidP="00575FDB">
      <w:pPr>
        <w:spacing w:after="0" w:line="240" w:lineRule="auto"/>
      </w:pPr>
    </w:p>
    <w:p w:rsidR="009E7E34" w:rsidRPr="00D66430" w:rsidRDefault="00575FDB" w:rsidP="00575FDB">
      <w:pPr>
        <w:spacing w:after="0" w:line="240" w:lineRule="auto"/>
        <w:rPr>
          <w:b/>
          <w:i/>
          <w:u w:val="single"/>
        </w:rPr>
      </w:pPr>
      <w:r w:rsidRPr="00D66430">
        <w:rPr>
          <w:b/>
          <w:i/>
          <w:u w:val="single"/>
        </w:rPr>
        <w:t>All 12‐lead ECGs should be transmitted to the anticipated destination hospital, and a copy kept with the agency’s PCR.</w:t>
      </w:r>
    </w:p>
    <w:p w:rsidR="00575FDB" w:rsidRDefault="00575FDB" w:rsidP="00575FDB">
      <w:pPr>
        <w:spacing w:after="0" w:line="240" w:lineRule="auto"/>
        <w:rPr>
          <w:b/>
          <w:u w:val="single"/>
        </w:rPr>
      </w:pPr>
    </w:p>
    <w:p w:rsidR="00575FDB" w:rsidRPr="00575FDB" w:rsidRDefault="00575FDB" w:rsidP="00575FDB">
      <w:pPr>
        <w:spacing w:after="0" w:line="240" w:lineRule="auto"/>
      </w:pPr>
      <w:r>
        <w:t>For patients with symptoms that change or are highly suspicious for cardiac etiology, providers should consider performing serial 12‐lead ECGs, however they are only required to transmit the first 12‐lead ECG, unless subsequent 12‐lead ECGs have a preliminary computer interpretation of “Acute MI”, or the device specific equivalent.</w:t>
      </w:r>
    </w:p>
    <w:p w:rsidR="00575FDB" w:rsidRPr="009E7E34" w:rsidRDefault="00575FDB" w:rsidP="00575FDB">
      <w:pPr>
        <w:spacing w:after="0" w:line="240" w:lineRule="auto"/>
      </w:pPr>
    </w:p>
    <w:p w:rsidR="00680B60" w:rsidRDefault="007539F9" w:rsidP="00680B60">
      <w:pPr>
        <w:spacing w:after="0" w:line="240" w:lineRule="auto"/>
        <w:rPr>
          <w:b/>
        </w:rPr>
      </w:pPr>
      <w:r w:rsidRPr="007539F9">
        <w:rPr>
          <w:b/>
        </w:rPr>
        <w:t>Equipment</w:t>
      </w:r>
      <w:r w:rsidR="007C1D97">
        <w:rPr>
          <w:b/>
        </w:rPr>
        <w:t xml:space="preserve"> </w:t>
      </w:r>
    </w:p>
    <w:p w:rsidR="007C1D97" w:rsidRDefault="00301354" w:rsidP="00680B60">
      <w:pPr>
        <w:spacing w:after="0" w:line="240" w:lineRule="auto"/>
        <w:rPr>
          <w:i/>
          <w:u w:val="single"/>
        </w:rPr>
      </w:pPr>
      <w:r w:rsidRPr="00301354">
        <w:rPr>
          <w:i/>
          <w:u w:val="single"/>
        </w:rPr>
        <w:t>(</w:t>
      </w:r>
      <w:r w:rsidR="007C1D97" w:rsidRPr="00301354">
        <w:rPr>
          <w:i/>
          <w:u w:val="single"/>
        </w:rPr>
        <w:t>Agency specific list</w:t>
      </w:r>
      <w:r>
        <w:rPr>
          <w:i/>
          <w:u w:val="single"/>
        </w:rPr>
        <w:t>)</w:t>
      </w:r>
    </w:p>
    <w:p w:rsidR="00E47631" w:rsidRPr="00680B60" w:rsidRDefault="00E47631" w:rsidP="00680B60">
      <w:pPr>
        <w:spacing w:after="0" w:line="240" w:lineRule="auto"/>
        <w:rPr>
          <w:b/>
        </w:rPr>
      </w:pPr>
    </w:p>
    <w:p w:rsidR="007539F9" w:rsidRDefault="00575FDB" w:rsidP="00575FDB">
      <w:pPr>
        <w:spacing w:after="0" w:line="240" w:lineRule="auto"/>
        <w:rPr>
          <w:color w:val="000000"/>
          <w:sz w:val="23"/>
          <w:szCs w:val="23"/>
        </w:rPr>
      </w:pPr>
      <w:r>
        <w:t xml:space="preserve"> </w:t>
      </w:r>
      <w:r>
        <w:rPr>
          <w:color w:val="000000"/>
          <w:sz w:val="23"/>
          <w:szCs w:val="23"/>
        </w:rPr>
        <w:t>Any device approved must be capable of transmitting 12 lead ECG data to the receiving hospital.</w:t>
      </w:r>
    </w:p>
    <w:p w:rsidR="00575FDB" w:rsidRDefault="00575FDB" w:rsidP="00575FDB">
      <w:pPr>
        <w:spacing w:after="0" w:line="240" w:lineRule="auto"/>
        <w:rPr>
          <w:b/>
        </w:rPr>
      </w:pPr>
    </w:p>
    <w:p w:rsidR="002D1A6B" w:rsidRDefault="002D1A6B" w:rsidP="005626CE">
      <w:pPr>
        <w:spacing w:after="0" w:line="240" w:lineRule="auto"/>
        <w:rPr>
          <w:b/>
        </w:rPr>
      </w:pPr>
      <w:r>
        <w:rPr>
          <w:b/>
        </w:rPr>
        <w:t>Procedure</w:t>
      </w:r>
    </w:p>
    <w:p w:rsidR="00E81FFC" w:rsidRDefault="002D1A6B" w:rsidP="00EE059B">
      <w:pPr>
        <w:pStyle w:val="ListParagraph"/>
        <w:numPr>
          <w:ilvl w:val="0"/>
          <w:numId w:val="10"/>
        </w:numPr>
        <w:spacing w:after="0" w:line="240" w:lineRule="auto"/>
      </w:pPr>
      <w:r>
        <w:t>Request ALS intercept if available. Do not delay transport to the appropriate hospital</w:t>
      </w:r>
      <w:r w:rsidR="00E81FFC">
        <w:t>.</w:t>
      </w:r>
    </w:p>
    <w:p w:rsidR="00E81FFC" w:rsidRDefault="00E42D08" w:rsidP="00131833">
      <w:pPr>
        <w:pStyle w:val="ListParagraph"/>
        <w:numPr>
          <w:ilvl w:val="0"/>
          <w:numId w:val="10"/>
        </w:numPr>
        <w:spacing w:after="0" w:line="240" w:lineRule="auto"/>
      </w:pPr>
      <w:r>
        <w:t>For c</w:t>
      </w:r>
      <w:r w:rsidR="00E81FFC">
        <w:t>ardiac related chest pain/discomfort, administer high concentration oxygen.</w:t>
      </w:r>
    </w:p>
    <w:p w:rsidR="00E81FFC" w:rsidRDefault="00E81FFC" w:rsidP="00E81FFC">
      <w:pPr>
        <w:pStyle w:val="ListParagraph"/>
        <w:numPr>
          <w:ilvl w:val="0"/>
          <w:numId w:val="10"/>
        </w:numPr>
        <w:spacing w:after="0" w:line="240" w:lineRule="auto"/>
      </w:pPr>
      <w:r>
        <w:t xml:space="preserve">Acquire and transmit 12 lead ECG to the receiving hospital ED while </w:t>
      </w:r>
      <w:r w:rsidR="00E42D08">
        <w:t>utilizing the NYS BLS Cardiac Protocol and/or any other appropriate Collaborative or NYS BLS Protocols.</w:t>
      </w:r>
    </w:p>
    <w:p w:rsidR="009771BB" w:rsidRDefault="003B6733" w:rsidP="009771BB">
      <w:pPr>
        <w:pStyle w:val="ListParagraph"/>
        <w:numPr>
          <w:ilvl w:val="0"/>
          <w:numId w:val="10"/>
        </w:numPr>
        <w:spacing w:after="0" w:line="240" w:lineRule="auto"/>
      </w:pPr>
      <w:r w:rsidRPr="003B6733">
        <w:t xml:space="preserve">The 12 lead ECG will be acquired following the accepted procedure sheet attached. Once the 12 lead ECG is acquired it should be transmitted to </w:t>
      </w:r>
      <w:r w:rsidR="009771BB">
        <w:t>[Inset usual ED destination]</w:t>
      </w:r>
      <w:r w:rsidRPr="003B6733">
        <w:t xml:space="preserve"> emergency department, other destination hospital that is capable of receiving a 12 Lead transition or PCI Center, and followed immediately by a call to Medical Control at the receiving emergency department the EKG was transmitted to in order to determine the appropriate patient destination.</w:t>
      </w:r>
      <w:r w:rsidR="009771BB">
        <w:t xml:space="preserve">  </w:t>
      </w:r>
    </w:p>
    <w:p w:rsidR="009771BB" w:rsidRDefault="009771BB" w:rsidP="009771BB">
      <w:pPr>
        <w:pStyle w:val="ListParagraph"/>
        <w:spacing w:after="0" w:line="240" w:lineRule="auto"/>
      </w:pPr>
      <w:r w:rsidRPr="009771BB">
        <w:rPr>
          <w:b/>
          <w:sz w:val="28"/>
          <w:szCs w:val="28"/>
        </w:rPr>
        <w:t>OR</w:t>
      </w:r>
      <w:proofErr w:type="gramStart"/>
      <w:r>
        <w:t xml:space="preserve">   (</w:t>
      </w:r>
      <w:proofErr w:type="gramEnd"/>
      <w:r>
        <w:t>Choose 4 or 5 depending on agency and hospital agreement)</w:t>
      </w:r>
    </w:p>
    <w:p w:rsidR="00E81FFC" w:rsidRDefault="00E81FFC" w:rsidP="009771BB">
      <w:pPr>
        <w:pStyle w:val="ListParagraph"/>
        <w:numPr>
          <w:ilvl w:val="0"/>
          <w:numId w:val="10"/>
        </w:numPr>
        <w:spacing w:after="0" w:line="240" w:lineRule="auto"/>
      </w:pPr>
      <w:r>
        <w:t xml:space="preserve">Contact on‐line medical control for all 12‐lead ECGs with a computer read of “Acute MI”, or the device‐specific equivalent. On‐line medical control should be contacted at the same hospital to where the 12‐lead ECG was sent. If the equipment used by the agency does not have the ability </w:t>
      </w:r>
      <w:r>
        <w:lastRenderedPageBreak/>
        <w:t>to display an interpretation, then providers must contact on‐line medical control for each 12‐lead ECG acquisition.</w:t>
      </w:r>
    </w:p>
    <w:p w:rsidR="00E81FFC" w:rsidRDefault="00E81FFC" w:rsidP="00E81FFC">
      <w:pPr>
        <w:spacing w:after="0" w:line="240" w:lineRule="auto"/>
      </w:pPr>
    </w:p>
    <w:p w:rsidR="00EA2FB7" w:rsidRDefault="00A36D1E" w:rsidP="00EA2FB7">
      <w:pPr>
        <w:spacing w:after="0" w:line="240" w:lineRule="auto"/>
        <w:rPr>
          <w:b/>
        </w:rPr>
      </w:pPr>
      <w:r>
        <w:rPr>
          <w:b/>
        </w:rPr>
        <w:t xml:space="preserve">Reporting / </w:t>
      </w:r>
      <w:r w:rsidR="00EA2FB7" w:rsidRPr="00EA2FB7">
        <w:rPr>
          <w:b/>
        </w:rPr>
        <w:t>Documentation</w:t>
      </w:r>
    </w:p>
    <w:p w:rsidR="00234A50" w:rsidRDefault="00E42D08" w:rsidP="00E47631">
      <w:pPr>
        <w:spacing w:after="0" w:line="240" w:lineRule="auto"/>
      </w:pPr>
      <w:r>
        <w:t xml:space="preserve">All BLS/AEMT 12-LEAD acquisitions will be reviewed by the emergency department provider </w:t>
      </w:r>
      <w:r w:rsidR="002820D3">
        <w:t xml:space="preserve">caring for the patient.  Calls will also be reviewed through our agency routine quality assurance program.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1440"/>
        <w:gridCol w:w="1620"/>
        <w:gridCol w:w="1880"/>
      </w:tblGrid>
      <w:tr w:rsidR="00E47631" w:rsidTr="00E47631">
        <w:trPr>
          <w:trHeight w:val="837"/>
        </w:trPr>
        <w:tc>
          <w:tcPr>
            <w:tcW w:w="4410" w:type="dxa"/>
            <w:tcBorders>
              <w:bottom w:val="single" w:sz="4" w:space="0" w:color="auto"/>
            </w:tcBorders>
          </w:tcPr>
          <w:p w:rsidR="00E47631" w:rsidRDefault="00E47631" w:rsidP="00C24AFD"/>
        </w:tc>
        <w:tc>
          <w:tcPr>
            <w:tcW w:w="1440" w:type="dxa"/>
          </w:tcPr>
          <w:p w:rsidR="00E47631" w:rsidRDefault="00E47631" w:rsidP="00C24AFD"/>
        </w:tc>
        <w:tc>
          <w:tcPr>
            <w:tcW w:w="3500" w:type="dxa"/>
            <w:gridSpan w:val="2"/>
            <w:tcBorders>
              <w:bottom w:val="single" w:sz="4" w:space="0" w:color="auto"/>
            </w:tcBorders>
          </w:tcPr>
          <w:p w:rsidR="00E47631" w:rsidRDefault="00E47631" w:rsidP="00C24AFD"/>
        </w:tc>
      </w:tr>
      <w:tr w:rsidR="00C24AFD" w:rsidTr="00E47631">
        <w:tc>
          <w:tcPr>
            <w:tcW w:w="4410" w:type="dxa"/>
            <w:tcBorders>
              <w:top w:val="single" w:sz="4" w:space="0" w:color="auto"/>
            </w:tcBorders>
          </w:tcPr>
          <w:p w:rsidR="00C24AFD" w:rsidRDefault="00C24AFD" w:rsidP="00C24AFD">
            <w:r>
              <w:t>Name of Authorized Agency Representative</w:t>
            </w:r>
          </w:p>
        </w:tc>
        <w:tc>
          <w:tcPr>
            <w:tcW w:w="1440" w:type="dxa"/>
          </w:tcPr>
          <w:p w:rsidR="00C24AFD" w:rsidRDefault="00C24AFD" w:rsidP="00C24AFD"/>
        </w:tc>
        <w:tc>
          <w:tcPr>
            <w:tcW w:w="1620" w:type="dxa"/>
            <w:tcBorders>
              <w:top w:val="single" w:sz="4" w:space="0" w:color="auto"/>
            </w:tcBorders>
          </w:tcPr>
          <w:p w:rsidR="00C24AFD" w:rsidRDefault="00C24AFD" w:rsidP="00C24AFD">
            <w:r>
              <w:t>Title</w:t>
            </w:r>
          </w:p>
        </w:tc>
        <w:tc>
          <w:tcPr>
            <w:tcW w:w="1880" w:type="dxa"/>
            <w:tcBorders>
              <w:top w:val="single" w:sz="4" w:space="0" w:color="auto"/>
            </w:tcBorders>
          </w:tcPr>
          <w:p w:rsidR="00C24AFD" w:rsidRDefault="00C24AFD" w:rsidP="00C24AFD"/>
        </w:tc>
      </w:tr>
      <w:tr w:rsidR="00C24AFD" w:rsidTr="00E47631">
        <w:trPr>
          <w:trHeight w:val="747"/>
        </w:trPr>
        <w:tc>
          <w:tcPr>
            <w:tcW w:w="4410" w:type="dxa"/>
            <w:tcBorders>
              <w:bottom w:val="single" w:sz="4" w:space="0" w:color="auto"/>
            </w:tcBorders>
          </w:tcPr>
          <w:p w:rsidR="00C24AFD" w:rsidRDefault="00C24AFD" w:rsidP="00C24AFD"/>
        </w:tc>
        <w:tc>
          <w:tcPr>
            <w:tcW w:w="1440" w:type="dxa"/>
          </w:tcPr>
          <w:p w:rsidR="00C24AFD" w:rsidRDefault="00C24AFD" w:rsidP="00C24AFD"/>
        </w:tc>
        <w:tc>
          <w:tcPr>
            <w:tcW w:w="1620" w:type="dxa"/>
            <w:tcBorders>
              <w:bottom w:val="single" w:sz="4" w:space="0" w:color="auto"/>
            </w:tcBorders>
          </w:tcPr>
          <w:p w:rsidR="00C24AFD" w:rsidRDefault="00C24AFD" w:rsidP="00C24AFD"/>
        </w:tc>
        <w:tc>
          <w:tcPr>
            <w:tcW w:w="1880" w:type="dxa"/>
          </w:tcPr>
          <w:p w:rsidR="00C24AFD" w:rsidRDefault="00C24AFD" w:rsidP="00C24AFD"/>
        </w:tc>
      </w:tr>
      <w:tr w:rsidR="00C24AFD" w:rsidTr="00E47631">
        <w:tc>
          <w:tcPr>
            <w:tcW w:w="4410" w:type="dxa"/>
            <w:tcBorders>
              <w:top w:val="single" w:sz="4" w:space="0" w:color="auto"/>
            </w:tcBorders>
          </w:tcPr>
          <w:p w:rsidR="00C24AFD" w:rsidRDefault="00C24AFD" w:rsidP="00C24AFD">
            <w:r>
              <w:t>Signature</w:t>
            </w:r>
          </w:p>
        </w:tc>
        <w:tc>
          <w:tcPr>
            <w:tcW w:w="1440" w:type="dxa"/>
          </w:tcPr>
          <w:p w:rsidR="00C24AFD" w:rsidRDefault="00C24AFD" w:rsidP="00C24AFD"/>
        </w:tc>
        <w:tc>
          <w:tcPr>
            <w:tcW w:w="1620" w:type="dxa"/>
            <w:tcBorders>
              <w:top w:val="single" w:sz="4" w:space="0" w:color="auto"/>
            </w:tcBorders>
          </w:tcPr>
          <w:p w:rsidR="00C24AFD" w:rsidRDefault="00C24AFD" w:rsidP="00C24AFD">
            <w:r>
              <w:t>Date</w:t>
            </w:r>
          </w:p>
        </w:tc>
        <w:tc>
          <w:tcPr>
            <w:tcW w:w="1880" w:type="dxa"/>
          </w:tcPr>
          <w:p w:rsidR="00C24AFD" w:rsidRDefault="00C24AFD" w:rsidP="00C24AFD"/>
        </w:tc>
      </w:tr>
      <w:tr w:rsidR="00C24AFD" w:rsidTr="00E47631">
        <w:trPr>
          <w:trHeight w:val="702"/>
        </w:trPr>
        <w:tc>
          <w:tcPr>
            <w:tcW w:w="4410" w:type="dxa"/>
            <w:tcBorders>
              <w:bottom w:val="single" w:sz="4" w:space="0" w:color="auto"/>
            </w:tcBorders>
          </w:tcPr>
          <w:p w:rsidR="00C24AFD" w:rsidRDefault="00C24AFD" w:rsidP="00C24AFD"/>
        </w:tc>
        <w:tc>
          <w:tcPr>
            <w:tcW w:w="1440" w:type="dxa"/>
          </w:tcPr>
          <w:p w:rsidR="00C24AFD" w:rsidRDefault="00C24AFD" w:rsidP="00C24AFD"/>
        </w:tc>
        <w:tc>
          <w:tcPr>
            <w:tcW w:w="1620" w:type="dxa"/>
          </w:tcPr>
          <w:p w:rsidR="00C24AFD" w:rsidRDefault="00C24AFD" w:rsidP="00C24AFD"/>
        </w:tc>
        <w:tc>
          <w:tcPr>
            <w:tcW w:w="1880" w:type="dxa"/>
          </w:tcPr>
          <w:p w:rsidR="00C24AFD" w:rsidRDefault="00C24AFD" w:rsidP="00C24AFD"/>
        </w:tc>
      </w:tr>
      <w:tr w:rsidR="00C24AFD" w:rsidTr="00E47631">
        <w:tc>
          <w:tcPr>
            <w:tcW w:w="4410" w:type="dxa"/>
            <w:tcBorders>
              <w:top w:val="single" w:sz="4" w:space="0" w:color="auto"/>
            </w:tcBorders>
          </w:tcPr>
          <w:p w:rsidR="00C24AFD" w:rsidRDefault="00E47631" w:rsidP="00C24AFD">
            <w:r>
              <w:t>Agency Medical Director</w:t>
            </w:r>
          </w:p>
        </w:tc>
        <w:tc>
          <w:tcPr>
            <w:tcW w:w="1440" w:type="dxa"/>
          </w:tcPr>
          <w:p w:rsidR="00C24AFD" w:rsidRDefault="00C24AFD" w:rsidP="00C24AFD"/>
        </w:tc>
        <w:tc>
          <w:tcPr>
            <w:tcW w:w="1620" w:type="dxa"/>
          </w:tcPr>
          <w:p w:rsidR="00C24AFD" w:rsidRDefault="00C24AFD" w:rsidP="00C24AFD"/>
        </w:tc>
        <w:tc>
          <w:tcPr>
            <w:tcW w:w="1880" w:type="dxa"/>
          </w:tcPr>
          <w:p w:rsidR="00C24AFD" w:rsidRDefault="00C24AFD" w:rsidP="00C24AFD"/>
        </w:tc>
      </w:tr>
      <w:tr w:rsidR="00C24AFD" w:rsidTr="00E47631">
        <w:trPr>
          <w:trHeight w:val="711"/>
        </w:trPr>
        <w:tc>
          <w:tcPr>
            <w:tcW w:w="4410" w:type="dxa"/>
            <w:tcBorders>
              <w:bottom w:val="single" w:sz="4" w:space="0" w:color="auto"/>
            </w:tcBorders>
          </w:tcPr>
          <w:p w:rsidR="00C24AFD" w:rsidRDefault="00C24AFD" w:rsidP="00C24AFD"/>
        </w:tc>
        <w:tc>
          <w:tcPr>
            <w:tcW w:w="1440" w:type="dxa"/>
          </w:tcPr>
          <w:p w:rsidR="00C24AFD" w:rsidRDefault="00C24AFD" w:rsidP="00C24AFD"/>
        </w:tc>
        <w:tc>
          <w:tcPr>
            <w:tcW w:w="1620" w:type="dxa"/>
            <w:tcBorders>
              <w:bottom w:val="single" w:sz="4" w:space="0" w:color="auto"/>
            </w:tcBorders>
          </w:tcPr>
          <w:p w:rsidR="00C24AFD" w:rsidRDefault="00C24AFD" w:rsidP="00C24AFD"/>
        </w:tc>
        <w:tc>
          <w:tcPr>
            <w:tcW w:w="1880" w:type="dxa"/>
          </w:tcPr>
          <w:p w:rsidR="00C24AFD" w:rsidRDefault="00C24AFD" w:rsidP="00C24AFD"/>
        </w:tc>
      </w:tr>
      <w:tr w:rsidR="00E47631" w:rsidTr="00E47631">
        <w:tc>
          <w:tcPr>
            <w:tcW w:w="4410" w:type="dxa"/>
            <w:tcBorders>
              <w:top w:val="single" w:sz="4" w:space="0" w:color="auto"/>
            </w:tcBorders>
          </w:tcPr>
          <w:p w:rsidR="00E47631" w:rsidRDefault="00E47631" w:rsidP="00C24AFD">
            <w:r>
              <w:t>Agency Medial Director Signature</w:t>
            </w:r>
          </w:p>
        </w:tc>
        <w:tc>
          <w:tcPr>
            <w:tcW w:w="1440" w:type="dxa"/>
          </w:tcPr>
          <w:p w:rsidR="00E47631" w:rsidRDefault="00E47631" w:rsidP="00C24AFD"/>
        </w:tc>
        <w:tc>
          <w:tcPr>
            <w:tcW w:w="1620" w:type="dxa"/>
            <w:tcBorders>
              <w:top w:val="single" w:sz="4" w:space="0" w:color="auto"/>
            </w:tcBorders>
          </w:tcPr>
          <w:p w:rsidR="00E47631" w:rsidRDefault="00E47631" w:rsidP="00C24AFD">
            <w:r>
              <w:t>Date</w:t>
            </w:r>
          </w:p>
        </w:tc>
        <w:tc>
          <w:tcPr>
            <w:tcW w:w="1880" w:type="dxa"/>
          </w:tcPr>
          <w:p w:rsidR="00E47631" w:rsidRDefault="00E47631" w:rsidP="00C24AFD"/>
        </w:tc>
      </w:tr>
    </w:tbl>
    <w:p w:rsidR="00C24AFD" w:rsidRDefault="00C24AFD" w:rsidP="00C24AFD">
      <w:bookmarkStart w:id="0" w:name="_GoBack"/>
      <w:bookmarkEnd w:id="0"/>
    </w:p>
    <w:sectPr w:rsidR="00C24AFD" w:rsidSect="00680B60">
      <w:headerReference w:type="even" r:id="rId9"/>
      <w:headerReference w:type="default" r:id="rId10"/>
      <w:footerReference w:type="even" r:id="rId11"/>
      <w:footerReference w:type="default" r:id="rId12"/>
      <w:headerReference w:type="first" r:id="rId13"/>
      <w:footerReference w:type="first" r:id="rId14"/>
      <w:pgSz w:w="12240" w:h="15840"/>
      <w:pgMar w:top="864"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00E" w:rsidRDefault="007C300E" w:rsidP="009C62C9">
      <w:pPr>
        <w:spacing w:after="0" w:line="240" w:lineRule="auto"/>
      </w:pPr>
      <w:r>
        <w:separator/>
      </w:r>
    </w:p>
  </w:endnote>
  <w:endnote w:type="continuationSeparator" w:id="0">
    <w:p w:rsidR="007C300E" w:rsidRDefault="007C300E" w:rsidP="009C6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2C9" w:rsidRDefault="009C6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2C9" w:rsidRDefault="009C62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2C9" w:rsidRDefault="009C6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00E" w:rsidRDefault="007C300E" w:rsidP="009C62C9">
      <w:pPr>
        <w:spacing w:after="0" w:line="240" w:lineRule="auto"/>
      </w:pPr>
      <w:r>
        <w:separator/>
      </w:r>
    </w:p>
  </w:footnote>
  <w:footnote w:type="continuationSeparator" w:id="0">
    <w:p w:rsidR="007C300E" w:rsidRDefault="007C300E" w:rsidP="009C6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2C9" w:rsidRDefault="009C6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2C9" w:rsidRDefault="009C62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2C9" w:rsidRDefault="009C6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56BC3"/>
    <w:multiLevelType w:val="multilevel"/>
    <w:tmpl w:val="E398D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846CA"/>
    <w:multiLevelType w:val="hybridMultilevel"/>
    <w:tmpl w:val="CCC4F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46605"/>
    <w:multiLevelType w:val="hybridMultilevel"/>
    <w:tmpl w:val="44C8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B5254"/>
    <w:multiLevelType w:val="hybridMultilevel"/>
    <w:tmpl w:val="70D28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73065"/>
    <w:multiLevelType w:val="hybridMultilevel"/>
    <w:tmpl w:val="82384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E5279"/>
    <w:multiLevelType w:val="hybridMultilevel"/>
    <w:tmpl w:val="817A93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B92148"/>
    <w:multiLevelType w:val="hybridMultilevel"/>
    <w:tmpl w:val="0B0626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1627D5C"/>
    <w:multiLevelType w:val="hybridMultilevel"/>
    <w:tmpl w:val="37A06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D71A62"/>
    <w:multiLevelType w:val="hybridMultilevel"/>
    <w:tmpl w:val="CCD82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21659"/>
    <w:multiLevelType w:val="hybridMultilevel"/>
    <w:tmpl w:val="F398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DA69F8"/>
    <w:multiLevelType w:val="hybridMultilevel"/>
    <w:tmpl w:val="9488A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485AFC"/>
    <w:multiLevelType w:val="hybridMultilevel"/>
    <w:tmpl w:val="9C946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2861C5"/>
    <w:multiLevelType w:val="hybridMultilevel"/>
    <w:tmpl w:val="0EAE6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195CCE"/>
    <w:multiLevelType w:val="hybridMultilevel"/>
    <w:tmpl w:val="456C9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F5916B1"/>
    <w:multiLevelType w:val="hybridMultilevel"/>
    <w:tmpl w:val="6288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0815D8"/>
    <w:multiLevelType w:val="hybridMultilevel"/>
    <w:tmpl w:val="886C2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B85962"/>
    <w:multiLevelType w:val="hybridMultilevel"/>
    <w:tmpl w:val="844240C8"/>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7" w15:restartNumberingAfterBreak="0">
    <w:nsid w:val="77A94F68"/>
    <w:multiLevelType w:val="hybridMultilevel"/>
    <w:tmpl w:val="0318F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F71940"/>
    <w:multiLevelType w:val="hybridMultilevel"/>
    <w:tmpl w:val="D95ADA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EAF4EDB"/>
    <w:multiLevelType w:val="hybridMultilevel"/>
    <w:tmpl w:val="E9F61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18"/>
  </w:num>
  <w:num w:numId="5">
    <w:abstractNumId w:val="15"/>
  </w:num>
  <w:num w:numId="6">
    <w:abstractNumId w:val="16"/>
  </w:num>
  <w:num w:numId="7">
    <w:abstractNumId w:val="19"/>
  </w:num>
  <w:num w:numId="8">
    <w:abstractNumId w:val="2"/>
  </w:num>
  <w:num w:numId="9">
    <w:abstractNumId w:val="3"/>
  </w:num>
  <w:num w:numId="10">
    <w:abstractNumId w:val="8"/>
  </w:num>
  <w:num w:numId="11">
    <w:abstractNumId w:val="14"/>
  </w:num>
  <w:num w:numId="12">
    <w:abstractNumId w:val="0"/>
  </w:num>
  <w:num w:numId="13">
    <w:abstractNumId w:val="10"/>
  </w:num>
  <w:num w:numId="14">
    <w:abstractNumId w:val="17"/>
  </w:num>
  <w:num w:numId="15">
    <w:abstractNumId w:val="4"/>
  </w:num>
  <w:num w:numId="16">
    <w:abstractNumId w:val="11"/>
  </w:num>
  <w:num w:numId="17">
    <w:abstractNumId w:val="1"/>
  </w:num>
  <w:num w:numId="18">
    <w:abstractNumId w:val="7"/>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CE3"/>
    <w:rsid w:val="000174F0"/>
    <w:rsid w:val="00023F4A"/>
    <w:rsid w:val="000368ED"/>
    <w:rsid w:val="00062051"/>
    <w:rsid w:val="00071312"/>
    <w:rsid w:val="000769EC"/>
    <w:rsid w:val="000C440B"/>
    <w:rsid w:val="000C76E7"/>
    <w:rsid w:val="000D7DD9"/>
    <w:rsid w:val="001133B5"/>
    <w:rsid w:val="00115560"/>
    <w:rsid w:val="00116E6F"/>
    <w:rsid w:val="0013001A"/>
    <w:rsid w:val="00152C27"/>
    <w:rsid w:val="001765BD"/>
    <w:rsid w:val="00191E0C"/>
    <w:rsid w:val="001929DD"/>
    <w:rsid w:val="001C1EA2"/>
    <w:rsid w:val="001E58DD"/>
    <w:rsid w:val="00220E27"/>
    <w:rsid w:val="00234A50"/>
    <w:rsid w:val="0026584A"/>
    <w:rsid w:val="002820D3"/>
    <w:rsid w:val="00285DBF"/>
    <w:rsid w:val="002B5539"/>
    <w:rsid w:val="002D1A6B"/>
    <w:rsid w:val="00301354"/>
    <w:rsid w:val="00342CF2"/>
    <w:rsid w:val="003B6733"/>
    <w:rsid w:val="003D0A41"/>
    <w:rsid w:val="003F03E0"/>
    <w:rsid w:val="003F4A9E"/>
    <w:rsid w:val="003F7ADD"/>
    <w:rsid w:val="0044526F"/>
    <w:rsid w:val="0049181A"/>
    <w:rsid w:val="004933A6"/>
    <w:rsid w:val="004A195C"/>
    <w:rsid w:val="004A2A23"/>
    <w:rsid w:val="004B5087"/>
    <w:rsid w:val="004B54CB"/>
    <w:rsid w:val="004C63F8"/>
    <w:rsid w:val="004F1FB3"/>
    <w:rsid w:val="00522008"/>
    <w:rsid w:val="00523252"/>
    <w:rsid w:val="005626CE"/>
    <w:rsid w:val="00564739"/>
    <w:rsid w:val="00575FDB"/>
    <w:rsid w:val="005B0B9E"/>
    <w:rsid w:val="005B5E21"/>
    <w:rsid w:val="005C382A"/>
    <w:rsid w:val="005D4504"/>
    <w:rsid w:val="0061175A"/>
    <w:rsid w:val="00612ABA"/>
    <w:rsid w:val="00680B60"/>
    <w:rsid w:val="006869D4"/>
    <w:rsid w:val="006B437A"/>
    <w:rsid w:val="006B7422"/>
    <w:rsid w:val="006C24C0"/>
    <w:rsid w:val="006C407E"/>
    <w:rsid w:val="00701D50"/>
    <w:rsid w:val="00706535"/>
    <w:rsid w:val="00717C6B"/>
    <w:rsid w:val="00732654"/>
    <w:rsid w:val="007539F9"/>
    <w:rsid w:val="0077323C"/>
    <w:rsid w:val="00780697"/>
    <w:rsid w:val="007A689E"/>
    <w:rsid w:val="007B1DBD"/>
    <w:rsid w:val="007C1D97"/>
    <w:rsid w:val="007C300E"/>
    <w:rsid w:val="00823318"/>
    <w:rsid w:val="00894491"/>
    <w:rsid w:val="00896825"/>
    <w:rsid w:val="008B4032"/>
    <w:rsid w:val="008F5FFD"/>
    <w:rsid w:val="00907A00"/>
    <w:rsid w:val="009771BB"/>
    <w:rsid w:val="009B4E77"/>
    <w:rsid w:val="009C585D"/>
    <w:rsid w:val="009C62C9"/>
    <w:rsid w:val="009D66EA"/>
    <w:rsid w:val="009E4793"/>
    <w:rsid w:val="009E7E34"/>
    <w:rsid w:val="009F7268"/>
    <w:rsid w:val="00A36D1E"/>
    <w:rsid w:val="00A65ED0"/>
    <w:rsid w:val="00A76F45"/>
    <w:rsid w:val="00A8337F"/>
    <w:rsid w:val="00A93385"/>
    <w:rsid w:val="00A96388"/>
    <w:rsid w:val="00AB466D"/>
    <w:rsid w:val="00AC517A"/>
    <w:rsid w:val="00B03D74"/>
    <w:rsid w:val="00B31A5C"/>
    <w:rsid w:val="00B54CF5"/>
    <w:rsid w:val="00B5699A"/>
    <w:rsid w:val="00B85CE3"/>
    <w:rsid w:val="00BC3CE6"/>
    <w:rsid w:val="00BF45A3"/>
    <w:rsid w:val="00BF6A3C"/>
    <w:rsid w:val="00C24AFD"/>
    <w:rsid w:val="00C7482B"/>
    <w:rsid w:val="00CB34B5"/>
    <w:rsid w:val="00CD756F"/>
    <w:rsid w:val="00CE6E66"/>
    <w:rsid w:val="00D22CD9"/>
    <w:rsid w:val="00D36A8B"/>
    <w:rsid w:val="00D56461"/>
    <w:rsid w:val="00D66430"/>
    <w:rsid w:val="00DB16AF"/>
    <w:rsid w:val="00DC4EE5"/>
    <w:rsid w:val="00DC7C7B"/>
    <w:rsid w:val="00E25E20"/>
    <w:rsid w:val="00E42D08"/>
    <w:rsid w:val="00E47631"/>
    <w:rsid w:val="00E53284"/>
    <w:rsid w:val="00E65B1C"/>
    <w:rsid w:val="00E81FFC"/>
    <w:rsid w:val="00E832FD"/>
    <w:rsid w:val="00E91E93"/>
    <w:rsid w:val="00EA2FB7"/>
    <w:rsid w:val="00EA3514"/>
    <w:rsid w:val="00ED6A44"/>
    <w:rsid w:val="00EE059B"/>
    <w:rsid w:val="00EF3E26"/>
    <w:rsid w:val="00F4052A"/>
    <w:rsid w:val="00F444F3"/>
    <w:rsid w:val="00F459A5"/>
    <w:rsid w:val="00F543C9"/>
    <w:rsid w:val="00F9441F"/>
    <w:rsid w:val="00FF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4319A"/>
  <w15:docId w15:val="{0ABA6FEB-5A81-4FF7-AE62-E6F02DB1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77323C"/>
    <w:pPr>
      <w:widowControl w:val="0"/>
      <w:spacing w:after="0" w:line="240" w:lineRule="auto"/>
      <w:ind w:left="2915"/>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6CE"/>
    <w:pPr>
      <w:ind w:left="720"/>
      <w:contextualSpacing/>
    </w:pPr>
  </w:style>
  <w:style w:type="paragraph" w:styleId="Header">
    <w:name w:val="header"/>
    <w:basedOn w:val="Normal"/>
    <w:link w:val="HeaderChar"/>
    <w:uiPriority w:val="99"/>
    <w:unhideWhenUsed/>
    <w:rsid w:val="009C6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2C9"/>
  </w:style>
  <w:style w:type="paragraph" w:styleId="Footer">
    <w:name w:val="footer"/>
    <w:basedOn w:val="Normal"/>
    <w:link w:val="FooterChar"/>
    <w:uiPriority w:val="99"/>
    <w:unhideWhenUsed/>
    <w:rsid w:val="009C6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2C9"/>
  </w:style>
  <w:style w:type="character" w:customStyle="1" w:styleId="Heading1Char">
    <w:name w:val="Heading 1 Char"/>
    <w:basedOn w:val="DefaultParagraphFont"/>
    <w:link w:val="Heading1"/>
    <w:uiPriority w:val="1"/>
    <w:rsid w:val="0077323C"/>
    <w:rPr>
      <w:rFonts w:ascii="Calibri" w:eastAsia="Calibri" w:hAnsi="Calibri"/>
      <w:b/>
      <w:bCs/>
      <w:sz w:val="20"/>
      <w:szCs w:val="20"/>
    </w:rPr>
  </w:style>
  <w:style w:type="paragraph" w:styleId="BodyText">
    <w:name w:val="Body Text"/>
    <w:basedOn w:val="Normal"/>
    <w:link w:val="BodyTextChar"/>
    <w:uiPriority w:val="1"/>
    <w:qFormat/>
    <w:rsid w:val="0077323C"/>
    <w:pPr>
      <w:widowControl w:val="0"/>
      <w:spacing w:after="0" w:line="240" w:lineRule="auto"/>
    </w:pPr>
    <w:rPr>
      <w:rFonts w:ascii="Calibri" w:eastAsia="Calibri" w:hAnsi="Calibri"/>
      <w:sz w:val="20"/>
      <w:szCs w:val="20"/>
    </w:rPr>
  </w:style>
  <w:style w:type="character" w:customStyle="1" w:styleId="BodyTextChar">
    <w:name w:val="Body Text Char"/>
    <w:basedOn w:val="DefaultParagraphFont"/>
    <w:link w:val="BodyText"/>
    <w:uiPriority w:val="1"/>
    <w:rsid w:val="0077323C"/>
    <w:rPr>
      <w:rFonts w:ascii="Calibri" w:eastAsia="Calibri" w:hAnsi="Calibri"/>
      <w:sz w:val="20"/>
      <w:szCs w:val="20"/>
    </w:rPr>
  </w:style>
  <w:style w:type="paragraph" w:styleId="BalloonText">
    <w:name w:val="Balloon Text"/>
    <w:basedOn w:val="Normal"/>
    <w:link w:val="BalloonTextChar"/>
    <w:uiPriority w:val="99"/>
    <w:semiHidden/>
    <w:unhideWhenUsed/>
    <w:rsid w:val="001E5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8DD"/>
    <w:rPr>
      <w:rFonts w:ascii="Tahoma" w:hAnsi="Tahoma" w:cs="Tahoma"/>
      <w:sz w:val="16"/>
      <w:szCs w:val="16"/>
    </w:rPr>
  </w:style>
  <w:style w:type="paragraph" w:styleId="NoSpacing">
    <w:name w:val="No Spacing"/>
    <w:link w:val="NoSpacingChar"/>
    <w:uiPriority w:val="1"/>
    <w:qFormat/>
    <w:rsid w:val="005D450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D4504"/>
    <w:rPr>
      <w:rFonts w:eastAsiaTheme="minorEastAsia"/>
      <w:lang w:eastAsia="ja-JP"/>
    </w:rPr>
  </w:style>
  <w:style w:type="table" w:styleId="TableGrid">
    <w:name w:val="Table Grid"/>
    <w:basedOn w:val="TableNormal"/>
    <w:uiPriority w:val="59"/>
    <w:rsid w:val="0068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5FD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402282">
      <w:bodyDiv w:val="1"/>
      <w:marLeft w:val="0"/>
      <w:marRight w:val="0"/>
      <w:marTop w:val="0"/>
      <w:marBottom w:val="0"/>
      <w:divBdr>
        <w:top w:val="none" w:sz="0" w:space="0" w:color="auto"/>
        <w:left w:val="none" w:sz="0" w:space="0" w:color="auto"/>
        <w:bottom w:val="none" w:sz="0" w:space="0" w:color="auto"/>
        <w:right w:val="none" w:sz="0" w:space="0" w:color="auto"/>
      </w:divBdr>
      <w:divsChild>
        <w:div w:id="216864919">
          <w:marLeft w:val="0"/>
          <w:marRight w:val="0"/>
          <w:marTop w:val="0"/>
          <w:marBottom w:val="0"/>
          <w:divBdr>
            <w:top w:val="none" w:sz="0" w:space="0" w:color="auto"/>
            <w:left w:val="none" w:sz="0" w:space="0" w:color="auto"/>
            <w:bottom w:val="none" w:sz="0" w:space="0" w:color="auto"/>
            <w:right w:val="none" w:sz="0" w:space="0" w:color="auto"/>
          </w:divBdr>
          <w:divsChild>
            <w:div w:id="2047176488">
              <w:marLeft w:val="0"/>
              <w:marRight w:val="3045"/>
              <w:marTop w:val="0"/>
              <w:marBottom w:val="0"/>
              <w:divBdr>
                <w:top w:val="none" w:sz="0" w:space="0" w:color="auto"/>
                <w:left w:val="none" w:sz="0" w:space="0" w:color="auto"/>
                <w:bottom w:val="none" w:sz="0" w:space="0" w:color="auto"/>
                <w:right w:val="none" w:sz="0" w:space="0" w:color="auto"/>
              </w:divBdr>
              <w:divsChild>
                <w:div w:id="16169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B8390D-EBC0-CD4D-BDD9-21F0F46AD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SAMPLE AGENCY SOPS</dc:subject>
  <dc:creator>Andrew Steel</dc:creator>
  <cp:lastModifiedBy>Brian Walters</cp:lastModifiedBy>
  <cp:revision>3</cp:revision>
  <cp:lastPrinted>2016-11-28T17:35:00Z</cp:lastPrinted>
  <dcterms:created xsi:type="dcterms:W3CDTF">2018-03-19T13:40:00Z</dcterms:created>
  <dcterms:modified xsi:type="dcterms:W3CDTF">2018-03-19T14:30:00Z</dcterms:modified>
</cp:coreProperties>
</file>